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5B5509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5B5509" w:rsidRPr="000162E0" w:rsidRDefault="005B5509" w:rsidP="005B5509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5B5509" w:rsidRPr="000162E0" w:rsidRDefault="005B5509" w:rsidP="005B5509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6AB30E1A" w14:textId="77777777" w:rsidR="005B5509" w:rsidRDefault="005B5509" w:rsidP="005B5509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520CC">
                    <w:rPr>
                      <w:b/>
                      <w:sz w:val="22"/>
                      <w:szCs w:val="22"/>
                      <w:lang w:val="uk-UA"/>
                    </w:rPr>
                    <w:t>Крісло «Ультра»</w:t>
                  </w:r>
                </w:p>
                <w:p w14:paraId="1B88AF77" w14:textId="77777777" w:rsidR="00320377" w:rsidRDefault="00320377" w:rsidP="005B5509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14:paraId="19D653AF" w14:textId="77777777" w:rsidR="00320377" w:rsidRDefault="00320377" w:rsidP="005B5509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14:paraId="0AEB25BA" w14:textId="4E550D28" w:rsidR="00320377" w:rsidRPr="000162E0" w:rsidRDefault="00320377" w:rsidP="005B550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6471EF">
                    <w:rPr>
                      <w:noProof/>
                    </w:rPr>
                    <w:drawing>
                      <wp:inline distT="0" distB="0" distL="0" distR="0" wp14:anchorId="2FE6944B" wp14:editId="3BD3D624">
                        <wp:extent cx="1119837" cy="1611602"/>
                        <wp:effectExtent l="0" t="0" r="4445" b="8255"/>
                        <wp:docPr id="13" name="Рисунок 1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36BEF6B-481B-4C51-90B8-01A9E0CFA06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Рисунок 12">
                                  <a:extLst>
                                    <a:ext uri="{FF2B5EF4-FFF2-40B4-BE49-F238E27FC236}">
                                      <a16:creationId xmlns:a16="http://schemas.microsoft.com/office/drawing/2014/main" id="{D36BEF6B-481B-4C51-90B8-01A9E0CFA06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998" cy="1620468"/>
                                </a:xfrm>
                                <a:prstGeom prst="rect">
                                  <a:avLst/>
                                </a:prstGeom>
                                <a:effectLst>
                                  <a:softEdge rad="1143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608BD6" w14:textId="77777777" w:rsidR="005B5509" w:rsidRPr="009D5A02" w:rsidRDefault="005B5509" w:rsidP="005B5509">
                  <w:pPr>
                    <w:rPr>
                      <w:sz w:val="24"/>
                      <w:szCs w:val="24"/>
                      <w:lang w:val="uk-UA"/>
                    </w:rPr>
                  </w:pPr>
                  <w:r w:rsidRPr="009D5A02">
                    <w:rPr>
                      <w:b/>
                      <w:bCs/>
                      <w:sz w:val="24"/>
                      <w:szCs w:val="24"/>
                      <w:lang w:val="uk-UA"/>
                    </w:rPr>
                    <w:t>Найменування:</w:t>
                  </w:r>
                  <w:r w:rsidRPr="009D5A02">
                    <w:rPr>
                      <w:sz w:val="24"/>
                      <w:szCs w:val="24"/>
                      <w:lang w:val="uk-UA"/>
                    </w:rPr>
                    <w:t xml:space="preserve"> Крісло офісне </w:t>
                  </w:r>
                  <w:r w:rsidRPr="009D5A02">
                    <w:rPr>
                      <w:sz w:val="24"/>
                      <w:szCs w:val="24"/>
                    </w:rPr>
                    <w:t>Ultra</w:t>
                  </w:r>
                  <w:r w:rsidRPr="009D5A02">
                    <w:rPr>
                      <w:sz w:val="24"/>
                      <w:szCs w:val="24"/>
                      <w:lang w:val="uk-UA"/>
                    </w:rPr>
                    <w:t xml:space="preserve"> Пластик із механізмом гойдання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Tilt</w:t>
                  </w:r>
                  <w:proofErr w:type="spellEnd"/>
                  <w:r w:rsidRPr="009D5A02">
                    <w:rPr>
                      <w:sz w:val="24"/>
                      <w:szCs w:val="24"/>
                      <w:lang w:val="uk-UA"/>
                    </w:rPr>
                    <w:t xml:space="preserve"> та сітчастою спинкою</w:t>
                  </w:r>
                </w:p>
                <w:p w14:paraId="65E175D2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Габаритні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розміри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Крісло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580 × 560 × 1030–1100 мм. Ширина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470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Глибина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470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регулюватися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діапазоні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410–480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спинки — 660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підлокітників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площини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230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Діаметр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хрестовини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640 мм.</w:t>
                  </w:r>
                </w:p>
                <w:p w14:paraId="1571D47B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Крісло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каркасу,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спинки,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хрестовини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підлокітників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механізму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гойдання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Механізм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гойдання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типу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Tilt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оббите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тканиною типу A,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колір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A-01. Спинка повинна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повітропроникної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сітки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чорного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кольору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Підлокітники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хрестовина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пластиковими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здійснюватися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газліфтом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D5A02">
                    <w:rPr>
                      <w:sz w:val="24"/>
                      <w:szCs w:val="24"/>
                    </w:rPr>
                    <w:t>у межах</w:t>
                  </w:r>
                  <w:proofErr w:type="gram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зазначеного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діапазону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витримувати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статичне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до 120 кг. Каркас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вузли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з’єднання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стійкість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надійність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під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експлуатації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.</w:t>
                  </w:r>
                </w:p>
                <w:p w14:paraId="4AF12855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Матеріали</w:t>
                  </w:r>
                  <w:proofErr w:type="spellEnd"/>
                </w:p>
                <w:p w14:paraId="20A520D1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: тканина А (A-01)</w:t>
                  </w:r>
                </w:p>
                <w:p w14:paraId="79E8C6E4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r w:rsidRPr="009D5A02">
                    <w:rPr>
                      <w:sz w:val="24"/>
                      <w:szCs w:val="24"/>
                    </w:rPr>
                    <w:t xml:space="preserve">Спинка: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сітка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чорна</w:t>
                  </w:r>
                  <w:proofErr w:type="spellEnd"/>
                </w:p>
                <w:p w14:paraId="72231847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sz w:val="24"/>
                      <w:szCs w:val="24"/>
                    </w:rPr>
                    <w:t>Підлокітники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: пластик</w:t>
                  </w:r>
                </w:p>
                <w:p w14:paraId="47675AF2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sz w:val="24"/>
                      <w:szCs w:val="24"/>
                    </w:rPr>
                    <w:t>Хрестовина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: пластик</w:t>
                  </w:r>
                </w:p>
                <w:p w14:paraId="6318D931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sz w:val="24"/>
                      <w:szCs w:val="24"/>
                    </w:rPr>
                    <w:t>Механізм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металевий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Tilt</w:t>
                  </w:r>
                  <w:proofErr w:type="spellEnd"/>
                </w:p>
                <w:p w14:paraId="4B51207D" w14:textId="77777777" w:rsidR="005B5509" w:rsidRPr="009D5A02" w:rsidRDefault="005B5509" w:rsidP="005B55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Палітра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кольорів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Оббивка повинна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виконана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тканині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A-01. Спинка —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чорна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сітка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.</w:t>
                  </w:r>
                </w:p>
                <w:p w14:paraId="5E69B79C" w14:textId="26BCF2AD" w:rsidR="005B5509" w:rsidRDefault="005B5509" w:rsidP="005B5509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9D5A02">
                    <w:rPr>
                      <w:rStyle w:val="af3"/>
                      <w:sz w:val="24"/>
                      <w:szCs w:val="24"/>
                    </w:rPr>
                    <w:t>Вимоги</w:t>
                  </w:r>
                  <w:proofErr w:type="spellEnd"/>
                  <w:r w:rsidRPr="009D5A02">
                    <w:rPr>
                      <w:rStyle w:val="af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D5A02">
                    <w:rPr>
                      <w:rStyle w:val="af3"/>
                      <w:sz w:val="24"/>
                      <w:szCs w:val="24"/>
                    </w:rPr>
                    <w:t>якості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Усі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вимогам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санітарно-гігієнічної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безпеки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безпечну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експлуатацію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люфтів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плавного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Всі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контактні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частини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гладкими, без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гострих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кутів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заусенців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стандартам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26C2"/>
    <w:multiLevelType w:val="multilevel"/>
    <w:tmpl w:val="206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4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7"/>
  </w:num>
  <w:num w:numId="5">
    <w:abstractNumId w:val="18"/>
  </w:num>
  <w:num w:numId="6">
    <w:abstractNumId w:val="33"/>
  </w:num>
  <w:num w:numId="7">
    <w:abstractNumId w:val="38"/>
  </w:num>
  <w:num w:numId="8">
    <w:abstractNumId w:val="17"/>
  </w:num>
  <w:num w:numId="9">
    <w:abstractNumId w:val="22"/>
  </w:num>
  <w:num w:numId="10">
    <w:abstractNumId w:val="31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16"/>
  </w:num>
  <w:num w:numId="16">
    <w:abstractNumId w:val="36"/>
  </w:num>
  <w:num w:numId="17">
    <w:abstractNumId w:val="9"/>
  </w:num>
  <w:num w:numId="18">
    <w:abstractNumId w:val="24"/>
  </w:num>
  <w:num w:numId="19">
    <w:abstractNumId w:val="6"/>
  </w:num>
  <w:num w:numId="20">
    <w:abstractNumId w:val="28"/>
  </w:num>
  <w:num w:numId="21">
    <w:abstractNumId w:val="29"/>
  </w:num>
  <w:num w:numId="22">
    <w:abstractNumId w:val="30"/>
  </w:num>
  <w:num w:numId="23">
    <w:abstractNumId w:val="34"/>
  </w:num>
  <w:num w:numId="24">
    <w:abstractNumId w:val="21"/>
  </w:num>
  <w:num w:numId="25">
    <w:abstractNumId w:val="25"/>
  </w:num>
  <w:num w:numId="26">
    <w:abstractNumId w:val="35"/>
  </w:num>
  <w:num w:numId="27">
    <w:abstractNumId w:val="20"/>
  </w:num>
  <w:num w:numId="28">
    <w:abstractNumId w:val="19"/>
  </w:num>
  <w:num w:numId="29">
    <w:abstractNumId w:val="15"/>
  </w:num>
  <w:num w:numId="30">
    <w:abstractNumId w:val="27"/>
  </w:num>
  <w:num w:numId="31">
    <w:abstractNumId w:val="26"/>
  </w:num>
  <w:num w:numId="32">
    <w:abstractNumId w:val="11"/>
  </w:num>
  <w:num w:numId="33">
    <w:abstractNumId w:val="8"/>
  </w:num>
  <w:num w:numId="34">
    <w:abstractNumId w:val="14"/>
  </w:num>
  <w:num w:numId="35">
    <w:abstractNumId w:val="32"/>
  </w:num>
  <w:num w:numId="36">
    <w:abstractNumId w:val="4"/>
  </w:num>
  <w:num w:numId="37">
    <w:abstractNumId w:val="7"/>
  </w:num>
  <w:num w:numId="38">
    <w:abstractNumId w:val="13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B20BF"/>
    <w:rsid w:val="000D0A90"/>
    <w:rsid w:val="000D155F"/>
    <w:rsid w:val="000D4673"/>
    <w:rsid w:val="000D6988"/>
    <w:rsid w:val="000D745E"/>
    <w:rsid w:val="000E4857"/>
    <w:rsid w:val="000F0301"/>
    <w:rsid w:val="000F66D4"/>
    <w:rsid w:val="0011082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64986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0377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D3862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26BD"/>
    <w:rsid w:val="00595C1C"/>
    <w:rsid w:val="005A2114"/>
    <w:rsid w:val="005A5A79"/>
    <w:rsid w:val="005A5B55"/>
    <w:rsid w:val="005B5509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26A4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2025-07-03T07:22:00Z</dcterms:created>
  <dcterms:modified xsi:type="dcterms:W3CDTF">2025-07-03T07:31:00Z</dcterms:modified>
</cp:coreProperties>
</file>